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18D" w:rsidRPr="00FC65BA" w:rsidRDefault="00F4618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FC65BA">
        <w:rPr>
          <w:rFonts w:ascii="Times New Roman" w:hAnsi="Times New Roman" w:cs="Times New Roman"/>
          <w:szCs w:val="22"/>
        </w:rPr>
        <w:t>МИНИСТЕРСТВО ТРУДА И СОЦИАЛЬНОЙ ЗАЩИТЫ РОССИЙСКОЙ ФЕДЕРАЦИИ</w:t>
      </w:r>
    </w:p>
    <w:p w:rsidR="00F4618D" w:rsidRPr="00FC65BA" w:rsidRDefault="00F4618D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F4618D" w:rsidRPr="00FC65BA" w:rsidRDefault="00F4618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FC65BA">
        <w:rPr>
          <w:rFonts w:ascii="Times New Roman" w:hAnsi="Times New Roman" w:cs="Times New Roman"/>
          <w:szCs w:val="22"/>
        </w:rPr>
        <w:t>ИНФОРМАЦИЯ</w:t>
      </w:r>
    </w:p>
    <w:p w:rsidR="00F4618D" w:rsidRPr="00FC65BA" w:rsidRDefault="00F4618D">
      <w:pPr>
        <w:pStyle w:val="ConsPlusTitle"/>
        <w:jc w:val="center"/>
        <w:rPr>
          <w:rFonts w:ascii="Times New Roman" w:hAnsi="Times New Roman" w:cs="Times New Roman"/>
          <w:szCs w:val="22"/>
        </w:rPr>
      </w:pPr>
    </w:p>
    <w:p w:rsidR="00F4618D" w:rsidRPr="00FC65BA" w:rsidRDefault="00F4618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FC65BA">
        <w:rPr>
          <w:rFonts w:ascii="Times New Roman" w:hAnsi="Times New Roman" w:cs="Times New Roman"/>
          <w:szCs w:val="22"/>
        </w:rPr>
        <w:t>ОСНОВНЫЕ НОВЕЛЛЫ</w:t>
      </w:r>
    </w:p>
    <w:p w:rsidR="00F4618D" w:rsidRPr="00FC65BA" w:rsidRDefault="00F4618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FC65BA">
        <w:rPr>
          <w:rFonts w:ascii="Times New Roman" w:hAnsi="Times New Roman" w:cs="Times New Roman"/>
          <w:szCs w:val="22"/>
        </w:rPr>
        <w:t>В МЕТОДИЧЕСКИХ РЕКОМЕНДАЦИЯХ ПО ВОПРОСАМ ПРЕДСТАВЛЕНИЯ</w:t>
      </w:r>
    </w:p>
    <w:p w:rsidR="00F4618D" w:rsidRPr="00FC65BA" w:rsidRDefault="00F4618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FC65BA">
        <w:rPr>
          <w:rFonts w:ascii="Times New Roman" w:hAnsi="Times New Roman" w:cs="Times New Roman"/>
          <w:szCs w:val="22"/>
        </w:rPr>
        <w:t>СВЕДЕНИЙ О ДОХОДАХ, РАСХОДАХ, ОБ ИМУЩЕСТВЕ И ОБЯЗАТЕЛЬСТВАХ</w:t>
      </w:r>
    </w:p>
    <w:p w:rsidR="00F4618D" w:rsidRPr="00FC65BA" w:rsidRDefault="00F4618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FC65BA">
        <w:rPr>
          <w:rFonts w:ascii="Times New Roman" w:hAnsi="Times New Roman" w:cs="Times New Roman"/>
          <w:szCs w:val="22"/>
        </w:rPr>
        <w:t>ИМУЩЕСТВЕННОГО ХАРАКТЕРА И ЗАПОЛНЕНИЯ СООТВЕТСТВУЮЩЕЙ ФОРМЫ</w:t>
      </w:r>
    </w:p>
    <w:p w:rsidR="00F4618D" w:rsidRPr="00FC65BA" w:rsidRDefault="00F4618D">
      <w:pPr>
        <w:pStyle w:val="ConsPlusTitle"/>
        <w:jc w:val="center"/>
        <w:rPr>
          <w:rFonts w:ascii="Times New Roman" w:hAnsi="Times New Roman" w:cs="Times New Roman"/>
          <w:szCs w:val="22"/>
        </w:rPr>
      </w:pPr>
      <w:r w:rsidRPr="00FC65BA">
        <w:rPr>
          <w:rFonts w:ascii="Times New Roman" w:hAnsi="Times New Roman" w:cs="Times New Roman"/>
          <w:szCs w:val="22"/>
        </w:rPr>
        <w:t>СПРАВКИ В 2022 ГОДУ (ЗА ОТЧЕТНЫЙ 2021 ГОД)</w:t>
      </w:r>
    </w:p>
    <w:p w:rsidR="00F4618D" w:rsidRPr="00FC65BA" w:rsidRDefault="00F461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4618D" w:rsidRPr="00FC65BA" w:rsidRDefault="00F4618D" w:rsidP="00B052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 xml:space="preserve">В течение последних лет является устоявшейся практика подготовки Министерством труда и социальной защиты Российской </w:t>
      </w:r>
      <w:proofErr w:type="gramStart"/>
      <w:r w:rsidRPr="00FC65BA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FC65BA">
        <w:rPr>
          <w:rFonts w:ascii="Times New Roman" w:hAnsi="Times New Roman" w:cs="Times New Roman"/>
          <w:sz w:val="28"/>
          <w:szCs w:val="28"/>
        </w:rPr>
        <w:t xml:space="preserve"> ежегодно обновляемых Методических </w:t>
      </w:r>
      <w:hyperlink r:id="rId6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рекомендаций</w:t>
        </w:r>
      </w:hyperlink>
      <w:r w:rsidRPr="00FC65BA">
        <w:rPr>
          <w:rFonts w:ascii="Times New Roman" w:hAnsi="Times New Roman" w:cs="Times New Roman"/>
          <w:sz w:val="28"/>
          <w:szCs w:val="28"/>
        </w:rPr>
        <w:t xml:space="preserve"> по вопросам представления сведений о доходах, расходах, об имуществе и обязательствах имущественного характера и заполнения соотве</w:t>
      </w:r>
      <w:r w:rsidR="00FC65BA">
        <w:rPr>
          <w:rFonts w:ascii="Times New Roman" w:hAnsi="Times New Roman" w:cs="Times New Roman"/>
          <w:sz w:val="28"/>
          <w:szCs w:val="28"/>
        </w:rPr>
        <w:t>тствующей формы справки (далее –</w:t>
      </w:r>
      <w:r w:rsidRPr="00FC65BA">
        <w:rPr>
          <w:rFonts w:ascii="Times New Roman" w:hAnsi="Times New Roman" w:cs="Times New Roman"/>
          <w:sz w:val="28"/>
          <w:szCs w:val="28"/>
        </w:rPr>
        <w:t xml:space="preserve"> Методические рекомендации, сведения соответственно),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 xml:space="preserve">Методические </w:t>
      </w:r>
      <w:hyperlink r:id="rId7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рекомендации</w:t>
        </w:r>
      </w:hyperlink>
      <w:r w:rsidRPr="00FC65BA"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2022 года (за отчетный 2021 год) подготовлены Министерством при участии Администрации Президента Российской Федерации, Центрального банка Российской Федерации, Генеральной прокуратуры Российской Федерации и иных заинтересованных федеральных государственных органов.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 xml:space="preserve">В ходе использования в работе указанных Методических </w:t>
      </w:r>
      <w:hyperlink r:id="rId8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рекомендаций</w:t>
        </w:r>
      </w:hyperlink>
      <w:r w:rsidRPr="00FC65BA">
        <w:rPr>
          <w:rFonts w:ascii="Times New Roman" w:hAnsi="Times New Roman" w:cs="Times New Roman"/>
          <w:sz w:val="28"/>
          <w:szCs w:val="28"/>
        </w:rPr>
        <w:t xml:space="preserve"> предлагаем обратить внимание на следующее.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 xml:space="preserve">1. В Методических </w:t>
      </w:r>
      <w:hyperlink r:id="rId9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рекомендациях</w:t>
        </w:r>
      </w:hyperlink>
      <w:r w:rsidRPr="00FC65BA">
        <w:rPr>
          <w:rFonts w:ascii="Times New Roman" w:hAnsi="Times New Roman" w:cs="Times New Roman"/>
          <w:sz w:val="28"/>
          <w:szCs w:val="28"/>
        </w:rPr>
        <w:t xml:space="preserve"> подчеркнуто, что отдельные особенности представления сведений могут быть установлены нормативными правовыми актами субъектов Российской Федерации с учетом предоставленных полномочий.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 xml:space="preserve">2. В </w:t>
      </w:r>
      <w:hyperlink r:id="rId10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пункте 13</w:t>
        </w:r>
      </w:hyperlink>
      <w:r w:rsidRPr="00FC65BA">
        <w:rPr>
          <w:rFonts w:ascii="Times New Roman" w:hAnsi="Times New Roman" w:cs="Times New Roman"/>
          <w:sz w:val="28"/>
          <w:szCs w:val="28"/>
        </w:rPr>
        <w:t xml:space="preserve"> Методических рекомендаций отмечено, что перевод на государственной гражданской службе Российской Федерации предполагает увольнение и, как следствие, необходимость представления сведений в качестве кандидата.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 xml:space="preserve">3. Ошибочное (неточное) указание сведений вследствие ошибок и неточностей, допущенных органом публичной власти или организацией в выданных официальных документах (выписках), на основании которых представляются сведения, не влечет применение взыскания. </w:t>
      </w:r>
      <w:proofErr w:type="gramStart"/>
      <w:r w:rsidRPr="00FC65BA">
        <w:rPr>
          <w:rFonts w:ascii="Times New Roman" w:hAnsi="Times New Roman" w:cs="Times New Roman"/>
          <w:sz w:val="28"/>
          <w:szCs w:val="28"/>
        </w:rPr>
        <w:t xml:space="preserve">В этой связи в Методических </w:t>
      </w:r>
      <w:hyperlink r:id="rId11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рекомендациях</w:t>
        </w:r>
      </w:hyperlink>
      <w:r w:rsidRPr="00FC65BA">
        <w:rPr>
          <w:rFonts w:ascii="Times New Roman" w:hAnsi="Times New Roman" w:cs="Times New Roman"/>
          <w:sz w:val="28"/>
          <w:szCs w:val="28"/>
        </w:rPr>
        <w:t xml:space="preserve"> отмечена целесообразность представления сведений на основании официальных документов, например, на основании полученной информации из единой </w:t>
      </w:r>
      <w:hyperlink r:id="rId12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формы</w:t>
        </w:r>
      </w:hyperlink>
      <w:r w:rsidRPr="00FC65BA">
        <w:rPr>
          <w:rFonts w:ascii="Times New Roman" w:hAnsi="Times New Roman" w:cs="Times New Roman"/>
          <w:sz w:val="28"/>
          <w:szCs w:val="28"/>
        </w:rPr>
        <w:t>, установленной Указанием Банка России от 27 мая</w:t>
      </w:r>
      <w:r w:rsidR="00FC65BA">
        <w:rPr>
          <w:rFonts w:ascii="Times New Roman" w:hAnsi="Times New Roman" w:cs="Times New Roman"/>
          <w:sz w:val="28"/>
          <w:szCs w:val="28"/>
        </w:rPr>
        <w:t xml:space="preserve"> 2021 г. № 5798-У «</w:t>
      </w:r>
      <w:r w:rsidRPr="00FC65BA">
        <w:rPr>
          <w:rFonts w:ascii="Times New Roman" w:hAnsi="Times New Roman" w:cs="Times New Roman"/>
          <w:sz w:val="28"/>
          <w:szCs w:val="28"/>
        </w:rPr>
        <w:t xml:space="preserve">О порядке предоставления кредитными </w:t>
      </w:r>
      <w:r w:rsidRPr="00FC65BA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организациями и </w:t>
      </w:r>
      <w:proofErr w:type="spellStart"/>
      <w:r w:rsidRPr="00FC65BA">
        <w:rPr>
          <w:rFonts w:ascii="Times New Roman" w:hAnsi="Times New Roman" w:cs="Times New Roman"/>
          <w:sz w:val="28"/>
          <w:szCs w:val="28"/>
        </w:rPr>
        <w:t>некредитными</w:t>
      </w:r>
      <w:proofErr w:type="spellEnd"/>
      <w:r w:rsidRPr="00FC65BA">
        <w:rPr>
          <w:rFonts w:ascii="Times New Roman" w:hAnsi="Times New Roman" w:cs="Times New Roman"/>
          <w:sz w:val="28"/>
          <w:szCs w:val="28"/>
        </w:rPr>
        <w:t xml:space="preserve"> финансовыми организациями гражданам сведений о наличии счетов и иной информации, необходимой для представления гражданами сведений о доходах, расходах, об имуществе и</w:t>
      </w:r>
      <w:proofErr w:type="gramEnd"/>
      <w:r w:rsidRPr="00FC65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65BA">
        <w:rPr>
          <w:rFonts w:ascii="Times New Roman" w:hAnsi="Times New Roman" w:cs="Times New Roman"/>
          <w:sz w:val="28"/>
          <w:szCs w:val="28"/>
        </w:rPr>
        <w:t>обязательствах</w:t>
      </w:r>
      <w:proofErr w:type="gramEnd"/>
      <w:r w:rsidRPr="00FC65BA">
        <w:rPr>
          <w:rFonts w:ascii="Times New Roman" w:hAnsi="Times New Roman" w:cs="Times New Roman"/>
          <w:sz w:val="28"/>
          <w:szCs w:val="28"/>
        </w:rPr>
        <w:t xml:space="preserve"> имущественного характера, о единой форме предоставления с</w:t>
      </w:r>
      <w:r w:rsidR="00FC65BA">
        <w:rPr>
          <w:rFonts w:ascii="Times New Roman" w:hAnsi="Times New Roman" w:cs="Times New Roman"/>
          <w:sz w:val="28"/>
          <w:szCs w:val="28"/>
        </w:rPr>
        <w:t>ведений и порядке ее заполнения»</w:t>
      </w:r>
      <w:r w:rsidRPr="00FC65BA">
        <w:rPr>
          <w:rFonts w:ascii="Times New Roman" w:hAnsi="Times New Roman" w:cs="Times New Roman"/>
          <w:sz w:val="28"/>
          <w:szCs w:val="28"/>
        </w:rPr>
        <w:t>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>4. Актуализирован перечень выплат, которые могут быть признаны доходом для целей законодательства Российской Федерации о противодействии коррупции.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>5. Указан порядок отражения социальной поддержки молодежи в возрасте от 14 до 22 лет для повышения доступно</w:t>
      </w:r>
      <w:r w:rsidR="00FC65BA">
        <w:rPr>
          <w:rFonts w:ascii="Times New Roman" w:hAnsi="Times New Roman" w:cs="Times New Roman"/>
          <w:sz w:val="28"/>
          <w:szCs w:val="28"/>
        </w:rPr>
        <w:t>сти организаций культуры (т.н. «Пушкинская карта»</w:t>
      </w:r>
      <w:r w:rsidRPr="00FC65BA">
        <w:rPr>
          <w:rFonts w:ascii="Times New Roman" w:hAnsi="Times New Roman" w:cs="Times New Roman"/>
          <w:sz w:val="28"/>
          <w:szCs w:val="28"/>
        </w:rPr>
        <w:t>).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FC65BA">
        <w:rPr>
          <w:rFonts w:ascii="Times New Roman" w:hAnsi="Times New Roman" w:cs="Times New Roman"/>
          <w:sz w:val="28"/>
          <w:szCs w:val="28"/>
        </w:rPr>
        <w:t xml:space="preserve">В Методических </w:t>
      </w:r>
      <w:hyperlink r:id="rId13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рекомендациях</w:t>
        </w:r>
      </w:hyperlink>
      <w:r w:rsidRPr="00FC65BA">
        <w:rPr>
          <w:rFonts w:ascii="Times New Roman" w:hAnsi="Times New Roman" w:cs="Times New Roman"/>
          <w:sz w:val="28"/>
          <w:szCs w:val="28"/>
        </w:rPr>
        <w:t xml:space="preserve"> учтены изменения, предусмотренные </w:t>
      </w:r>
      <w:hyperlink r:id="rId14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FC65BA">
        <w:rPr>
          <w:rFonts w:ascii="Times New Roman" w:hAnsi="Times New Roman" w:cs="Times New Roman"/>
          <w:sz w:val="28"/>
          <w:szCs w:val="28"/>
        </w:rPr>
        <w:t xml:space="preserve"> Президента Российской Ф</w:t>
      </w:r>
      <w:r w:rsidR="00FC65BA">
        <w:rPr>
          <w:rFonts w:ascii="Times New Roman" w:hAnsi="Times New Roman" w:cs="Times New Roman"/>
          <w:sz w:val="28"/>
          <w:szCs w:val="28"/>
        </w:rPr>
        <w:t>едерации от 10 декабря 2020 г. № 778                  «</w:t>
      </w:r>
      <w:r w:rsidRPr="00FC65BA">
        <w:rPr>
          <w:rFonts w:ascii="Times New Roman" w:hAnsi="Times New Roman" w:cs="Times New Roman"/>
          <w:sz w:val="28"/>
          <w:szCs w:val="28"/>
        </w:rPr>
        <w:t>О мерах по реализации отдельных</w:t>
      </w:r>
      <w:r w:rsidR="00FC65BA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                      «</w:t>
      </w:r>
      <w:r w:rsidRPr="00FC65BA">
        <w:rPr>
          <w:rFonts w:ascii="Times New Roman" w:hAnsi="Times New Roman" w:cs="Times New Roman"/>
          <w:sz w:val="28"/>
          <w:szCs w:val="28"/>
        </w:rPr>
        <w:t>О цифровых финансовых активах, цифровой валюте и о внесении изменений в отдельные законодате</w:t>
      </w:r>
      <w:r w:rsidR="00FC65BA">
        <w:rPr>
          <w:rFonts w:ascii="Times New Roman" w:hAnsi="Times New Roman" w:cs="Times New Roman"/>
          <w:sz w:val="28"/>
          <w:szCs w:val="28"/>
        </w:rPr>
        <w:t>льные акты Российской Федерации»</w:t>
      </w:r>
      <w:r w:rsidRPr="00FC65B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 xml:space="preserve">7. Определены особенности представления информации в случае приобретение недвижимого имущества посредством участия в долевом строительстве с использованием счетов </w:t>
      </w:r>
      <w:proofErr w:type="spellStart"/>
      <w:r w:rsidRPr="00FC65BA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FC65BA">
        <w:rPr>
          <w:rFonts w:ascii="Times New Roman" w:hAnsi="Times New Roman" w:cs="Times New Roman"/>
          <w:sz w:val="28"/>
          <w:szCs w:val="28"/>
        </w:rPr>
        <w:t>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 xml:space="preserve">8. В </w:t>
      </w:r>
      <w:hyperlink r:id="rId15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пункте 154</w:t>
        </w:r>
      </w:hyperlink>
      <w:r w:rsidRPr="00FC65BA">
        <w:rPr>
          <w:rFonts w:ascii="Times New Roman" w:hAnsi="Times New Roman" w:cs="Times New Roman"/>
          <w:sz w:val="28"/>
          <w:szCs w:val="28"/>
        </w:rPr>
        <w:t xml:space="preserve"> Методических рекомендаций обозначено, что уставный капитал зарубежных организаций необходимо устанавливать в соответствии с применимым правом (допускается использование данных из официальных источников в информационно-телекоммуникационной сети "Интернет").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>9. Определенны особенности представления информации об акциях, приобретенных на организованных торгах.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>10. Отмечено, что при наличии обстоятельств фьючерсный договор подлежит отражению.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>11. Актуализированы особенности представления информации о срочных обязательствах финансового характера, возникающих исходя из условий договора со страховщиком.</w:t>
      </w:r>
    </w:p>
    <w:p w:rsidR="00F4618D" w:rsidRPr="00FC65BA" w:rsidRDefault="00F4618D" w:rsidP="00B0526C">
      <w:pPr>
        <w:pStyle w:val="ConsPlusNormal"/>
        <w:spacing w:before="22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65BA">
        <w:rPr>
          <w:rFonts w:ascii="Times New Roman" w:hAnsi="Times New Roman" w:cs="Times New Roman"/>
          <w:sz w:val="28"/>
          <w:szCs w:val="28"/>
        </w:rPr>
        <w:t xml:space="preserve">12. Положения Методических </w:t>
      </w:r>
      <w:hyperlink r:id="rId16" w:history="1">
        <w:r w:rsidRPr="00FC65BA">
          <w:rPr>
            <w:rFonts w:ascii="Times New Roman" w:hAnsi="Times New Roman" w:cs="Times New Roman"/>
            <w:color w:val="0000FF"/>
            <w:sz w:val="28"/>
            <w:szCs w:val="28"/>
          </w:rPr>
          <w:t>рекомендаций</w:t>
        </w:r>
      </w:hyperlink>
      <w:r w:rsidRPr="00FC65BA">
        <w:rPr>
          <w:rFonts w:ascii="Times New Roman" w:hAnsi="Times New Roman" w:cs="Times New Roman"/>
          <w:sz w:val="28"/>
          <w:szCs w:val="28"/>
        </w:rPr>
        <w:t xml:space="preserve"> в целом актуализированы с учетом изменений нормативных правовых актов Российской Федерации.</w:t>
      </w:r>
    </w:p>
    <w:p w:rsidR="00F4618D" w:rsidRPr="00FC65BA" w:rsidRDefault="00F4618D" w:rsidP="00B0526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618D" w:rsidRPr="00FC65BA" w:rsidRDefault="00F4618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4618D" w:rsidRPr="00FC65BA" w:rsidRDefault="00F4618D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903D6E" w:rsidRPr="00FC65BA" w:rsidRDefault="00903D6E">
      <w:pPr>
        <w:rPr>
          <w:rFonts w:ascii="Times New Roman" w:hAnsi="Times New Roman" w:cs="Times New Roman"/>
          <w:sz w:val="28"/>
          <w:szCs w:val="28"/>
        </w:rPr>
      </w:pPr>
    </w:p>
    <w:sectPr w:rsidR="00903D6E" w:rsidRPr="00FC65BA" w:rsidSect="00A245C5">
      <w:headerReference w:type="default" r:id="rId17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216" w:rsidRDefault="00C00216" w:rsidP="00C00216">
      <w:pPr>
        <w:spacing w:after="0" w:line="240" w:lineRule="auto"/>
      </w:pPr>
      <w:r>
        <w:separator/>
      </w:r>
    </w:p>
  </w:endnote>
  <w:endnote w:type="continuationSeparator" w:id="0">
    <w:p w:rsidR="00C00216" w:rsidRDefault="00C00216" w:rsidP="00C00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216" w:rsidRDefault="00C00216" w:rsidP="00C00216">
      <w:pPr>
        <w:spacing w:after="0" w:line="240" w:lineRule="auto"/>
      </w:pPr>
      <w:r>
        <w:separator/>
      </w:r>
    </w:p>
  </w:footnote>
  <w:footnote w:type="continuationSeparator" w:id="0">
    <w:p w:rsidR="00C00216" w:rsidRDefault="00C00216" w:rsidP="00C00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56532"/>
      <w:docPartObj>
        <w:docPartGallery w:val="Page Numbers (Top of Page)"/>
        <w:docPartUnique/>
      </w:docPartObj>
    </w:sdtPr>
    <w:sdtContent>
      <w:p w:rsidR="00C00216" w:rsidRDefault="00C00216">
        <w:pPr>
          <w:pStyle w:val="a3"/>
          <w:jc w:val="center"/>
        </w:pPr>
        <w:fldSimple w:instr=" PAGE   \* MERGEFORMAT ">
          <w:r w:rsidR="00A245C5">
            <w:rPr>
              <w:noProof/>
            </w:rPr>
            <w:t>2</w:t>
          </w:r>
        </w:fldSimple>
      </w:p>
    </w:sdtContent>
  </w:sdt>
  <w:p w:rsidR="00C00216" w:rsidRDefault="00C0021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18D"/>
    <w:rsid w:val="00903D6E"/>
    <w:rsid w:val="00A245C5"/>
    <w:rsid w:val="00B0526C"/>
    <w:rsid w:val="00C00216"/>
    <w:rsid w:val="00F4618D"/>
    <w:rsid w:val="00FC6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1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461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4618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00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0216"/>
  </w:style>
  <w:style w:type="paragraph" w:styleId="a5">
    <w:name w:val="footer"/>
    <w:basedOn w:val="a"/>
    <w:link w:val="a6"/>
    <w:uiPriority w:val="99"/>
    <w:semiHidden/>
    <w:unhideWhenUsed/>
    <w:rsid w:val="00C00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0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09487AB00A5C0AAB18BC4E1EC4846A3B110611E3BC5100413FEDF3CA92E604B78D10C00C3066D9792DAA5EA6nEoCM" TargetMode="External"/><Relationship Id="rId13" Type="http://schemas.openxmlformats.org/officeDocument/2006/relationships/hyperlink" Target="consultantplus://offline/ref=9309487AB00A5C0AAB18BC4E1EC4846A3B110611E3BC5100413FEDF3CA92E604B78D10C00C3066D9792DAA5EA6nEoC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309487AB00A5C0AAB18BC4E1EC4846A3B110611E3BC5100413FEDF3CA92E604B78D10C00C3066D9792DAA5EA6nEoCM" TargetMode="External"/><Relationship Id="rId12" Type="http://schemas.openxmlformats.org/officeDocument/2006/relationships/hyperlink" Target="consultantplus://offline/ref=9309487AB00A5C0AAB18BC4E1EC4846A3C190B10EABA5100413FEDF3CA92E604A58D48CC0E3778DB7138FC0FE0BB506537010149091AFC0En1o7M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309487AB00A5C0AAB18BC4E1EC4846A3B110611E3BC5100413FEDF3CA92E604B78D10C00C3066D9792DAA5EA6nEoC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309487AB00A5C0AAB18BC4E1EC4846A3B110611E3BC5100413FEDF3CA92E604B78D10C00C3066D9792DAA5EA6nEoCM" TargetMode="External"/><Relationship Id="rId11" Type="http://schemas.openxmlformats.org/officeDocument/2006/relationships/hyperlink" Target="consultantplus://offline/ref=9309487AB00A5C0AAB18BC4E1EC4846A3B110611E3BC5100413FEDF3CA92E604B78D10C00C3066D9792DAA5EA6nEoCM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9309487AB00A5C0AAB18BC4E1EC4846A3B110611E3BC5100413FEDF3CA92E604A58D48CC0E377DD87138FC0FE0BB506537010149091AFC0En1o7M" TargetMode="External"/><Relationship Id="rId10" Type="http://schemas.openxmlformats.org/officeDocument/2006/relationships/hyperlink" Target="consultantplus://offline/ref=9309487AB00A5C0AAB18BC4E1EC4846A3B110611E3BC5100413FEDF3CA92E604A58D48CC0E3778DF7838FC0FE0BB506537010149091AFC0En1o7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9309487AB00A5C0AAB18BC4E1EC4846A3B110611E3BC5100413FEDF3CA92E604B78D10C00C3066D9792DAA5EA6nEoCM" TargetMode="External"/><Relationship Id="rId14" Type="http://schemas.openxmlformats.org/officeDocument/2006/relationships/hyperlink" Target="consultantplus://offline/ref=9309487AB00A5C0AAB18BC4E1EC4846A3C16021DEFB85100413FEDF3CA92E604B78D10C00C3066D9792DAA5EA6nEoC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857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goncharova_iy</dc:creator>
  <cp:lastModifiedBy>goncharova_iy</cp:lastModifiedBy>
  <cp:revision>5</cp:revision>
  <dcterms:created xsi:type="dcterms:W3CDTF">2022-01-27T12:40:00Z</dcterms:created>
  <dcterms:modified xsi:type="dcterms:W3CDTF">2022-01-27T12:43:00Z</dcterms:modified>
</cp:coreProperties>
</file>